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8A" w:rsidRDefault="00AD028A" w:rsidP="00AD028A">
      <w:pPr>
        <w:pStyle w:val="Nagwek4"/>
        <w:shd w:val="clear" w:color="auto" w:fill="FFFFFF"/>
        <w:spacing w:before="0" w:beforeAutospacing="0" w:after="90" w:afterAutospacing="0" w:line="300" w:lineRule="atLeast"/>
        <w:textAlignment w:val="baseline"/>
        <w:rPr>
          <w:b w:val="0"/>
          <w:lang w:val="en-US"/>
        </w:rPr>
      </w:pPr>
      <w:r w:rsidRPr="00EC5ABE">
        <w:rPr>
          <w:b w:val="0"/>
          <w:lang w:val="en-US"/>
        </w:rPr>
        <w:t>CONTENTS</w:t>
      </w:r>
    </w:p>
    <w:p w:rsidR="00AD028A" w:rsidRPr="00EC5ABE" w:rsidRDefault="00AD028A" w:rsidP="00AD028A">
      <w:pPr>
        <w:pStyle w:val="Nagwek4"/>
        <w:shd w:val="clear" w:color="auto" w:fill="FFFFFF"/>
        <w:spacing w:before="0" w:beforeAutospacing="0" w:after="90" w:afterAutospacing="0" w:line="300" w:lineRule="atLeast"/>
        <w:textAlignment w:val="baseline"/>
        <w:rPr>
          <w:rFonts w:asciiTheme="minorHAnsi" w:hAnsiTheme="minorHAnsi" w:cstheme="minorBidi"/>
          <w:b w:val="0"/>
          <w:sz w:val="22"/>
          <w:szCs w:val="22"/>
          <w:lang w:val="en-US"/>
        </w:rPr>
      </w:pPr>
    </w:p>
    <w:p w:rsidR="00AD028A" w:rsidRPr="000E6629" w:rsidRDefault="00AD028A" w:rsidP="00AD028A">
      <w:pPr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It is my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Paweł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Valde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-Nowak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Tabula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gratulatoria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Everythingness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Stefan Karol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Kozłowski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Janusz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Kozłowski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la finesse et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l’érudition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Marcel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Otte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Keilmesser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tranchet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blow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Grotte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Verpillière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 (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Germolles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Saône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-et-Loire, France)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Jens Axel Frick, Klaus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Herkert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Christian Thomas Hoyer, Harald Floss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The mystery of the bifacial knife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Osełków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in the Holy Cross Mountains, Poland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Małgorzata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Przeździecki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More scraper reduction sequences identified 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Okiennik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Ciemna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(Poland) and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Samuilitsa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II (Bulgaria)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 Middle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assemblages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Tsoni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Tsonev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Technology and typology of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Szeletian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leaf-shaped tools: Theoretical and methodological considerations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Zsolt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Mester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The Early Upper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assemblage of arch-backed points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Kraków-Zwierzyniec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site 1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Damian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Stefański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Uluzzian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50 years later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Annamaria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Ronchitelli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Adriana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Moroni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Paolo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Boscato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Paolo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Gambassini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The role of the Northern Adriatic region in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Protoaurignacian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spread towards Mediterranean Europe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Alberto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Broglio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Stefano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Bertola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Fabio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Negrino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 European perspectives of the East European LGM Epi-Aurignacian with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Sagaidak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Muralovka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-type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microliths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Yuri E.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Demidenko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Petr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Škrdla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Joseba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Rios-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Garaizar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 The new Upper-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cave site in the Polish Jura (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Ogrodzieniec-Podzamcze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shelter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Birów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IV)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Krzysztof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Cyrek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dead, the shaman – and the chief? Status and prestige during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Gravettian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Thorsten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Uthmeier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Kraków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Spadzista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– 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Gravettian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site of mammoth hunters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Piotr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Wojtal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Wilczyński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Krzysztof Sobczyk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Upper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settlement in Iberia: 20 years of research in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Côa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Valley (Portugal)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Thierry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Aubry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Les constructions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mammouths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l’habitat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Paleolithique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Gontsy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(Ukraine): etude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preliminaire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Lioudmila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Iakovleva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François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Djindjian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Early Magdalenian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microliths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Mirande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1 (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Nègrepelisse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Tarn-et-Garonne, France)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Gerhard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Bosinski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   A possible structure in the Lower Magdalenian horizon of El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Mirón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Cave (Cantabria, Spain)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Lawrence Guy Straus, Manuel R. González-Morales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An essay on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archaeostratigraphy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of the Magdalenian and the Final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in Central Germany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Clemens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Pasda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Late Magdalenian campsite in a rock shelter at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Obłazowa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Rock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Paweł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Valde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-Nowak, Anna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Kraszewska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Magda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Cieśla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Adam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Nadachowski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Versions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mobilières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pariétales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d’un motif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géométrique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non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figuratif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dans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grotte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Gazel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(Aude, France).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 Implications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chrono-culturelles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Dominique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Sacchi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 note on the Upper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industrial sequence in the lower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Louros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river valley, district of Preveza,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Epirus, northwest Greece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Eugenia Adam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Working together on the origins of voyaging in the Eastern Mediterranean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Albert J.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Ammerman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Jay S.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Noller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Traces of presence of the Late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hunters 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Toruń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and its surroundings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Beata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Bielińska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-Majewska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Fire striker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Federmesser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campsite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Nowa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Biała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1 (Poland)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Jakub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Skłucki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Anna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Kraszewska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Mateusz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Biborski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Paweł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Valde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-Nowak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oldest strike-a-lights in Poland. The preliminary results of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microwear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and chemical analysis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Grzegorz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Osipowicz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Iwona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Sobkowiak-Tabaka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Mariusz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Bosiak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microlithisation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of chipped stones in the Old World: Case-studies from the Crimea and northern Italy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Paolo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Biagi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Elisabetta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Starnini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The Mesolithic raw stone materials in the Tyrol and the adjacent area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Albert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Wydrzycki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Mapping the Mesolithic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Erwin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Cziesla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At the edge of two worlds: Hunter-gatherers and early farmers in the Polish Lowlands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Jacek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Kabaciński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Agnieszka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Czekaj-Zastawny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Thomas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Terberger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Mesolithic materials from sites 3 and 4 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Kraków-Kobierzyn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Justyna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Zakrzeńska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Neolithic stove and the artefacts inside it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Ayakagytma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‘The Site’, Kyzyl-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kums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Central Asia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Karol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Szymczak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Mukhiddin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Khudzhanazarov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Bridging up Anatolia.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Çatalhöyük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and northwestern Anatolia in the Late Neolithic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Arkadiusz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Marciniak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The architecture of Gilgal I revisited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Olivier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Aurenche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Stefan Karol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Kozłowski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 new hypothesis on the emergence of the Early Neolithic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Cardial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culture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Jean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Guilaine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Bullet core pendants from South Marmara region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Ivan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Gatsov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Petranka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Nedelcheva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lastRenderedPageBreak/>
        <w:t>   The Neolithic house in the Eastern Balkans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Vassil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Nikolov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A retrospect on yellow spotted flint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Barbara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Voytek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woman, the pots, and the cattle figurine. New materiality of an early ALP burial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Polgár-Ferenci-hát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Pál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Raczky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Alexandra Anders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 short report on the research of the earliest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Alföld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Linear Pottery culture 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Hernád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Valley,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North-eastern Hungary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Piroska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Csengeri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contribution of finds from feature no. 1/12 at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Ražňany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(distr.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Sabinov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Slovakia) for the problem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 of foreign influences in the area of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Bükk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culture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Anton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Karabinoš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Marek Nowak,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Marián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Vizdal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Adriána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Voľanská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Colorants used to decorate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Bükk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culture vessels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Agnieszka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Czekaj-Zastawny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Anna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Rauba-Bukowska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Rastislav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Hreha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Preliminary data on the house structures of the LBK settlement at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Apc-Berekalja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(NE-Hungary)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László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Domboróczki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possible participation of autochthonous Mesolithic inhabitants in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Neolithisation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of Upper Silesia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Vratislav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Janák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Kateřina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Papáková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Flint raw material economy among the earliest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Danubian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communities from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Sandomierz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Upland area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(south-central Poland)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Marcin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Szeliga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Šárka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Volhynia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Andrij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B.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Bardec’kyj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Maciej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Dębiec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Thomas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Saile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North-eastern periphery of Neolithic Europe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Stanisław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Kukawka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Jolanta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Małecka-Kukawka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Is length significant? LBK longhouses and the social context in central-eastern Europe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Lech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Czerniak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The importance of obsidian distribution during the Neolithic in the Cir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cum-Carpathian Area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Małgorzata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Kaczanowska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 unique early Neolithic pendant of the Linear Pottery culture from site 10 at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Kruszyn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Włocławek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commune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Dominik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Kacper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Płaza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Piotr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Papiernik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Wojciech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Siciński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Nicolaevca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V – preliminary information on the 2016 excavations of a Neolithic and Copper Age settlement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in Northern Moldova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Stanislav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Țerna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Maciej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Dębiec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Andreea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Vornicu-Țerna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Mariana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Vasilache-Curoșu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Thomas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Saile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A note to the origins of the idea of rondels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Jaromír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Kovárník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Analysis of the placement strategy of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rondelsin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the cultural landscape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Jaromír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Kovárník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Štěpán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Kravciv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lastRenderedPageBreak/>
        <w:t>  Chipped stone inventories of the Malice culture from southern Poland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Wilczyński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Research on the Neolithic flint workshop at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Bębło-Zachruście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Site, Lesser Poland: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 Description of cores in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Pleszów-Modlnica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group of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Lengyel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culture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Elżbieta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Trela-Kieferling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mainstream of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Eneolithic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flint-working of the Balkan-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Danubian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cultures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Anna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Zakościelna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Can we talk about the Copper Age in Lesser Poland? Contribution to the discussion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Stanisław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Wilk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Pre-Baden cultural horizon in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Eneolithic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of western Lesser Poland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Albert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Zastawny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new features of the Baden culture from the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Kraków-Cło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site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Janusz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Bober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The current state of research on the flint industry in the Pre-Baden and Classic Baden horizons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in western Lesser Poland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Agnieszka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Brzeska-Pasek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'Defence construction' of the 4th/3rd millennium BC on the Vistula and Odra: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Inspirations from the Baden culture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Aleksander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Kośko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Marzena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Szmyt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Traces of the Bell Beakers’ contacts with the Funnel Beaker communities in Central Pomerania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Jacek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Wierzbicki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The erratic stone raw material reservoir in the Polish Lowland and its procurement and selection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within the local late Neolithic societies. Choices between the ‘gift’ from the glacial past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and the Earth’s natural resources of the ‘south’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Piotr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Chachlikowski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New perspectives on the Battle Axe culture of southern Sweden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Lars Larsson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Can the study of flint assemblages say something about the political relations in the early history of Egypt?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proofErr w:type="gram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Kobusiewicz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Tell el-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Farkha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as a trade centre between Egypt and the Levant in the 4th millennium BC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Krzysztof M.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Ciałowicz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HLC Project.</w:t>
      </w:r>
      <w:proofErr w:type="gram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New polish archaeological activity in At-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Tafileh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micro-region (south Jordan)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Piotr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Kołodziejczyk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Wasilewski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Marcin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Czarnowicz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Jacek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Karmowski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Julia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Kościuk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Aleksandra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Węgrzynek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On the beginnings of prehistory and on chipped flints in the Late Bronze Age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Jacek Lech,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Dagmara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H. Werra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Caves in the Post-medieval landscape of the Polish Jura Chain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Michał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Wojenka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Palaeolithic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and Neolithic wood charcoal remains as important tools for chronological, ethnographic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and environmental studies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Magdalena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Moskal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-del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Hoyo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Ntinou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Yolanda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Carrión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Marco, Paloma Vidal-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lastRenderedPageBreak/>
        <w:t>Matutano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Ernestina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Badal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Traces of supposed Neolithic plant husbandry in the multicultural site 3 at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Miechów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southern Poland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Aldona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Mueller-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Bieniek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Magdalena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Moskal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-del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Hoyo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Magda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Kapcia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Marcin M.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Przybyła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Vegetation history of the surrounding environment of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Sarakenos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Cave, Central Greece: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   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palaeoecological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perspective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Chrysanthi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Ioakim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Adamantios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Sampson, Antonia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Tsourouni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 From Clovis hunters to Pueblo farmers: The pre-Columbian period in the Mesa Verde region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of the North American Southwest</w:t>
      </w:r>
      <w:bookmarkStart w:id="0" w:name="_GoBack"/>
      <w:bookmarkEnd w:id="0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Radosław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Palonka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Incised ceramics from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Nakum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Guatemala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Jarosław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Źrałka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Christophe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Helmke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Bernard Hermes,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Wiesław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Koszkul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Landscape in flux: Geopolitics among Classic Maya societies in Petén, Guatemala.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>     An example from the Poza Maya Research Project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Magdalena H.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Rusek-Karska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The “Bird Lot Style”: Its characteristics, and power garments in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Chimu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culture (Peru</w:t>
      </w:r>
      <w:proofErr w:type="gramStart"/>
      <w:r w:rsidRPr="000E6629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Victòria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Solanilla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Demestre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A garden in the desert: Lima agriculture and environment in Lomas de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Lachay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Peru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Piotr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Kalicki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Tomasz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Kalicki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>, Piotr Kittel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   Debating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lithics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 from pre-colonial sites in Los Roques Archipelago, Venezuela (AD 1000-1500)</w:t>
      </w:r>
      <w:r w:rsidRPr="000E6629">
        <w:rPr>
          <w:rFonts w:ascii="Times New Roman" w:hAnsi="Times New Roman" w:cs="Times New Roman"/>
          <w:sz w:val="24"/>
          <w:szCs w:val="24"/>
          <w:lang w:val="en-US"/>
        </w:rPr>
        <w:br/>
        <w:t xml:space="preserve">Andrzej T.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Antczak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Ma. Magdalena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Antczak</w:t>
      </w:r>
      <w:proofErr w:type="spellEnd"/>
      <w:r w:rsidRPr="000E6629">
        <w:rPr>
          <w:rFonts w:ascii="Times New Roman" w:hAnsi="Times New Roman" w:cs="Times New Roman"/>
          <w:sz w:val="24"/>
          <w:szCs w:val="24"/>
          <w:lang w:val="en-US"/>
        </w:rPr>
        <w:t xml:space="preserve">, Arturo </w:t>
      </w:r>
      <w:proofErr w:type="spellStart"/>
      <w:r w:rsidRPr="000E6629">
        <w:rPr>
          <w:rFonts w:ascii="Times New Roman" w:hAnsi="Times New Roman" w:cs="Times New Roman"/>
          <w:sz w:val="24"/>
          <w:szCs w:val="24"/>
          <w:lang w:val="en-US"/>
        </w:rPr>
        <w:t>Jaimes</w:t>
      </w:r>
      <w:proofErr w:type="spellEnd"/>
    </w:p>
    <w:p w:rsidR="0064113E" w:rsidRDefault="0064113E"/>
    <w:sectPr w:rsidR="00641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0"/>
    <w:rsid w:val="0064113E"/>
    <w:rsid w:val="00AD028A"/>
    <w:rsid w:val="00C678B1"/>
    <w:rsid w:val="00F4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8A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9"/>
    <w:qFormat/>
    <w:rsid w:val="00AD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2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28A"/>
    <w:pPr>
      <w:spacing w:after="160" w:line="259" w:lineRule="auto"/>
    </w:pPr>
  </w:style>
  <w:style w:type="paragraph" w:styleId="Nagwek4">
    <w:name w:val="heading 4"/>
    <w:basedOn w:val="Normalny"/>
    <w:link w:val="Nagwek4Znak"/>
    <w:uiPriority w:val="9"/>
    <w:qFormat/>
    <w:rsid w:val="00AD02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D02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7</cp:revision>
  <cp:lastPrinted>2020-07-09T08:49:00Z</cp:lastPrinted>
  <dcterms:created xsi:type="dcterms:W3CDTF">2020-07-09T08:48:00Z</dcterms:created>
  <dcterms:modified xsi:type="dcterms:W3CDTF">2020-07-09T08:49:00Z</dcterms:modified>
</cp:coreProperties>
</file>